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035CDE" w:rsidRPr="00BD73D8" w:rsidRDefault="0053625D" w:rsidP="00977E25">
      <w:pPr>
        <w:rPr>
          <w:b/>
          <w:color w:val="0000FF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</w:t>
      </w:r>
      <w:r w:rsidR="00E070D6">
        <w:rPr>
          <w:b/>
          <w:color w:val="0000FF"/>
          <w:lang w:val="en-GB"/>
        </w:rPr>
        <w:t>18.10.2022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FA0EC5" w:rsidRDefault="00B53C0C" w:rsidP="00BD73D8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D73D8">
              <w:rPr>
                <w:b/>
                <w:color w:val="0000FF"/>
                <w:lang w:val="en-GB"/>
              </w:rPr>
              <w:t>Rf</w:t>
            </w:r>
            <w:r w:rsidR="0052467E">
              <w:rPr>
                <w:b/>
                <w:color w:val="0000FF"/>
                <w:lang w:val="en-GB"/>
              </w:rPr>
              <w:t xml:space="preserve">Q </w:t>
            </w:r>
            <w:r w:rsidR="00E070D6">
              <w:rPr>
                <w:b/>
                <w:color w:val="0000FF"/>
                <w:lang w:val="en-GB"/>
              </w:rPr>
              <w:t>214/10</w:t>
            </w:r>
            <w:r w:rsidR="00BD73D8">
              <w:rPr>
                <w:b/>
                <w:color w:val="0000FF"/>
                <w:lang w:val="en-GB"/>
              </w:rPr>
              <w:t xml:space="preserve"> 202</w:t>
            </w:r>
            <w:r w:rsidR="00E070D6">
              <w:rPr>
                <w:b/>
                <w:color w:val="0000FF"/>
                <w:lang w:val="en-GB"/>
              </w:rPr>
              <w:t>2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0"/>
        <w:gridCol w:w="2112"/>
        <w:gridCol w:w="992"/>
        <w:gridCol w:w="2393"/>
        <w:gridCol w:w="951"/>
        <w:gridCol w:w="1811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346E5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346E5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346E5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070D6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E070D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E070D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E070D6">
              <w:rPr>
                <w:b/>
                <w:color w:val="0000FF"/>
                <w:sz w:val="22"/>
                <w:lang w:val="en-GB"/>
              </w:rPr>
              <w:t>1192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070D6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 xml:space="preserve">Email: </w:t>
            </w:r>
            <w:r w:rsidR="00E070D6">
              <w:rPr>
                <w:b/>
                <w:color w:val="0000FF"/>
                <w:sz w:val="22"/>
                <w:lang w:val="en-GB"/>
              </w:rPr>
              <w:t>Arbenita.kadriu</w:t>
            </w:r>
            <w:r w:rsidR="00577FE7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346E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346E5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346E5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346E5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346E5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035CDE" w:rsidRDefault="00035CDE" w:rsidP="0024599F">
            <w:pPr>
              <w:rPr>
                <w:b/>
                <w:color w:val="0000FF"/>
                <w:sz w:val="22"/>
              </w:rPr>
            </w:pPr>
            <w:r w:rsidRPr="00035CDE">
              <w:rPr>
                <w:b/>
                <w:color w:val="0000FF"/>
                <w:sz w:val="22"/>
              </w:rPr>
              <w:t>Furnizim me shtrënguese rrymore izoluese</w:t>
            </w:r>
            <w:r w:rsidR="009648D5">
              <w:rPr>
                <w:b/>
                <w:color w:val="0000FF"/>
                <w:sz w:val="22"/>
              </w:rPr>
              <w:t xml:space="preserve"> -</w:t>
            </w:r>
            <w:r w:rsidRPr="00035CDE">
              <w:rPr>
                <w:b/>
                <w:color w:val="0000FF"/>
                <w:sz w:val="22"/>
              </w:rPr>
              <w:t xml:space="preserve"> Fidos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346E5">
              <w:rPr>
                <w:b/>
                <w:bCs/>
                <w:sz w:val="24"/>
                <w:szCs w:val="24"/>
              </w:rPr>
            </w:r>
            <w:r w:rsidR="001346E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24599F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346E5">
              <w:rPr>
                <w:b/>
                <w:color w:val="0000FF"/>
                <w:sz w:val="22"/>
                <w:lang w:val="en-GB"/>
              </w:rPr>
            </w:r>
            <w:r w:rsidR="001346E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24599F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6"/>
            <w:r w:rsidR="00A478E2"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24599F">
              <w:rPr>
                <w:b/>
                <w:color w:val="0000FF"/>
                <w:sz w:val="22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346E5">
              <w:rPr>
                <w:b/>
                <w:bCs/>
                <w:sz w:val="24"/>
                <w:szCs w:val="24"/>
              </w:rPr>
            </w:r>
            <w:r w:rsidR="001346E5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346E5">
              <w:rPr>
                <w:sz w:val="24"/>
                <w:szCs w:val="24"/>
              </w:rPr>
            </w:r>
            <w:r w:rsidR="001346E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46E5">
              <w:rPr>
                <w:sz w:val="24"/>
                <w:szCs w:val="24"/>
              </w:rPr>
            </w:r>
            <w:r w:rsidR="001346E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46E5">
              <w:rPr>
                <w:sz w:val="24"/>
                <w:szCs w:val="24"/>
              </w:rPr>
            </w:r>
            <w:r w:rsidR="001346E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346E5">
              <w:rPr>
                <w:b/>
                <w:color w:val="0000FF"/>
                <w:sz w:val="22"/>
                <w:lang w:val="en-GB"/>
              </w:rPr>
            </w:r>
            <w:r w:rsidR="001346E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46E5">
              <w:rPr>
                <w:sz w:val="24"/>
                <w:szCs w:val="24"/>
              </w:rPr>
            </w:r>
            <w:r w:rsidR="001346E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46E5">
              <w:rPr>
                <w:sz w:val="24"/>
                <w:szCs w:val="24"/>
              </w:rPr>
            </w:r>
            <w:r w:rsidR="001346E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46E5">
              <w:rPr>
                <w:sz w:val="24"/>
                <w:szCs w:val="24"/>
              </w:rPr>
            </w:r>
            <w:r w:rsidR="001346E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46E5">
              <w:rPr>
                <w:sz w:val="24"/>
                <w:szCs w:val="24"/>
              </w:rPr>
            </w:r>
            <w:r w:rsidR="001346E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3A3508" w:rsidP="00ED28E6">
            <w:pPr>
              <w:rPr>
                <w:sz w:val="24"/>
                <w:szCs w:val="24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 xml:space="preserve">KEDS </w:t>
            </w:r>
            <w:r w:rsidR="00835DC4" w:rsidRPr="0024599F">
              <w:rPr>
                <w:b/>
                <w:color w:val="0000FF"/>
                <w:sz w:val="22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FA0EC5" w:rsidRDefault="00035CDE" w:rsidP="00EB4C29">
            <w:pPr>
              <w:rPr>
                <w:sz w:val="24"/>
                <w:szCs w:val="24"/>
              </w:rPr>
            </w:pPr>
            <w:r w:rsidRPr="00035CDE">
              <w:rPr>
                <w:b/>
                <w:color w:val="0000FF"/>
                <w:sz w:val="22"/>
              </w:rPr>
              <w:t>Furnizim me shtrënguese rrymore izoluese Fidos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52467E" w:rsidRDefault="004F1D07" w:rsidP="00EB4C29">
            <w:pPr>
              <w:rPr>
                <w:b/>
                <w:i/>
                <w:color w:val="FF0000"/>
                <w:sz w:val="22"/>
              </w:rPr>
            </w:pPr>
            <w:r w:rsidRPr="009648D5">
              <w:rPr>
                <w:b/>
                <w:color w:val="0000FF"/>
                <w:sz w:val="22"/>
                <w:lang w:val="en-GB"/>
              </w:rPr>
              <w:t>31682000</w:t>
            </w:r>
            <w:r w:rsidR="0024599F" w:rsidRPr="009648D5">
              <w:rPr>
                <w:b/>
                <w:color w:val="0000FF"/>
                <w:sz w:val="22"/>
                <w:lang w:val="en-GB"/>
              </w:rPr>
              <w:t>-0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346E5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29314F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346E5">
              <w:rPr>
                <w:sz w:val="24"/>
                <w:szCs w:val="24"/>
              </w:rPr>
            </w:r>
            <w:r w:rsidR="001346E5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29314F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eck23"/>
            <w:r w:rsidR="0029314F">
              <w:rPr>
                <w:sz w:val="24"/>
                <w:szCs w:val="24"/>
              </w:rPr>
              <w:instrText xml:space="preserve"> FORMCHECKBOX </w:instrText>
            </w:r>
            <w:r w:rsidR="001346E5">
              <w:rPr>
                <w:sz w:val="24"/>
                <w:szCs w:val="24"/>
              </w:rPr>
            </w:r>
            <w:r w:rsidR="001346E5">
              <w:rPr>
                <w:sz w:val="24"/>
                <w:szCs w:val="24"/>
              </w:rPr>
              <w:fldChar w:fldCharType="separate"/>
            </w:r>
            <w:r w:rsidR="0029314F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FA0EC5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FA0EC5" w:rsidRDefault="00216BAC" w:rsidP="00772573">
                  <w:pPr>
                    <w:jc w:val="center"/>
                    <w:rPr>
                      <w:sz w:val="24"/>
                      <w:szCs w:val="24"/>
                    </w:rPr>
                  </w:pPr>
                  <w:r w:rsidRPr="001A23DB">
                    <w:rPr>
                      <w:bCs/>
                      <w:sz w:val="24"/>
                      <w:szCs w:val="24"/>
                    </w:rPr>
                    <w:t>Përshkrimi i shkurtër</w:t>
                  </w:r>
                </w:p>
              </w:tc>
            </w:tr>
            <w:tr w:rsidR="00216BAC" w:rsidRPr="00FA0EC5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  <w:tc>
                <w:tcPr>
                  <w:tcW w:w="4521" w:type="dxa"/>
                </w:tcPr>
                <w:p w:rsidR="00216BAC" w:rsidRPr="00FA0EC5" w:rsidRDefault="0052467E" w:rsidP="00772573">
                  <w:pPr>
                    <w:overflowPunct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/</w:t>
                  </w:r>
                </w:p>
              </w:tc>
            </w:tr>
          </w:tbl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035C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E070D6">
              <w:rPr>
                <w:b/>
                <w:color w:val="0000FF"/>
                <w:sz w:val="22"/>
                <w:lang w:val="de-DE"/>
              </w:rPr>
              <w:t>28,4</w:t>
            </w:r>
            <w:r w:rsidR="00035CDE" w:rsidRPr="00CF2CBD">
              <w:rPr>
                <w:b/>
                <w:color w:val="0000FF"/>
                <w:sz w:val="22"/>
                <w:lang w:val="de-DE"/>
              </w:rPr>
              <w:t>00.00</w:t>
            </w:r>
            <w:r w:rsidR="0052467E" w:rsidRPr="00CF2CBD">
              <w:rPr>
                <w:b/>
                <w:color w:val="0000FF"/>
                <w:sz w:val="22"/>
                <w:lang w:val="de-DE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>Kohëzgjatja</w:t>
            </w:r>
            <w:r w:rsidRPr="00CF2CBD">
              <w:rPr>
                <w:b/>
                <w:color w:val="0000FF"/>
                <w:sz w:val="22"/>
              </w:rPr>
              <w:t xml:space="preserve"> </w:t>
            </w:r>
            <w:r w:rsidR="00514E1E" w:rsidRPr="00CF2CBD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A96458" w:rsidRDefault="00A96458" w:rsidP="00ED28E6">
      <w:pPr>
        <w:rPr>
          <w:b/>
          <w:bCs/>
          <w:sz w:val="24"/>
          <w:szCs w:val="24"/>
        </w:rPr>
      </w:pPr>
    </w:p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D86613" w:rsidRDefault="000634A1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D86613" w:rsidRDefault="00B53C0C" w:rsidP="000A2C07">
                  <w:pPr>
                    <w:rPr>
                      <w:b/>
                      <w:color w:val="0000FF"/>
                      <w:sz w:val="22"/>
                      <w:lang w:val="en-GB"/>
                    </w:rPr>
                  </w:pP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instrText xml:space="preserve"> FORMCHECKBOX </w:instrText>
                  </w:r>
                  <w:r w:rsidR="001346E5">
                    <w:rPr>
                      <w:b/>
                      <w:color w:val="0000FF"/>
                      <w:sz w:val="22"/>
                      <w:lang w:val="en-GB"/>
                    </w:rPr>
                  </w:r>
                  <w:r w:rsidR="001346E5">
                    <w:rPr>
                      <w:b/>
                      <w:color w:val="0000FF"/>
                      <w:sz w:val="22"/>
                      <w:lang w:val="en-GB"/>
                    </w:rPr>
                    <w:fldChar w:fldCharType="separate"/>
                  </w:r>
                  <w:r w:rsidRPr="00D86613">
                    <w:rPr>
                      <w:b/>
                      <w:color w:val="0000FF"/>
                      <w:sz w:val="22"/>
                      <w:lang w:val="en-GB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0A2C07" w:rsidRPr="00FA0EC5" w:rsidRDefault="000634A1" w:rsidP="000A2C0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0A2C07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0A2C07" w:rsidRPr="00FA0EC5" w:rsidRDefault="00E41853" w:rsidP="000A2C07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2003A1" w:rsidRPr="00FA0EC5" w:rsidRDefault="002003A1" w:rsidP="002003A1">
            <w:pPr>
              <w:rPr>
                <w:sz w:val="24"/>
                <w:szCs w:val="24"/>
              </w:rPr>
            </w:pPr>
          </w:p>
          <w:p w:rsidR="002003A1" w:rsidRPr="0052467E" w:rsidRDefault="000634A1" w:rsidP="000F1086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 w:rsidR="000F1086"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 w:rsidR="003A3508">
              <w:rPr>
                <w:sz w:val="24"/>
                <w:szCs w:val="24"/>
              </w:rPr>
              <w:t xml:space="preserve"> </w:t>
            </w:r>
            <w:r w:rsidR="0052467E" w:rsidRPr="00CF2CBD">
              <w:rPr>
                <w:b/>
                <w:color w:val="0000FF"/>
                <w:sz w:val="22"/>
              </w:rPr>
              <w:t>10</w:t>
            </w:r>
            <w:r w:rsidRPr="00CF2CBD">
              <w:rPr>
                <w:b/>
                <w:color w:val="0000FF"/>
                <w:sz w:val="22"/>
              </w:rPr>
              <w:t>% e vlerës së kontratës</w:t>
            </w:r>
            <w:r w:rsidR="0052467E" w:rsidRPr="00CF2CBD">
              <w:rPr>
                <w:b/>
                <w:color w:val="0000FF"/>
                <w:sz w:val="22"/>
              </w:rPr>
              <w:t xml:space="preserve"> në</w:t>
            </w:r>
            <w:r w:rsidR="00B53C0C" w:rsidRPr="00CF2CBD">
              <w:rPr>
                <w:b/>
                <w:color w:val="0000FF"/>
                <w:sz w:val="22"/>
              </w:rPr>
              <w:t xml:space="preserve"> </w:t>
            </w:r>
            <w:r w:rsidR="009648D5">
              <w:rPr>
                <w:b/>
                <w:color w:val="0000FF"/>
                <w:sz w:val="22"/>
              </w:rPr>
              <w:t>kohëzgjatje nga fillimi deri në 30 ditë pas përfundimit të kontratës</w:t>
            </w:r>
            <w:r w:rsidR="009648D5"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</w:t>
            </w:r>
            <w:r w:rsidR="009648D5">
              <w:rPr>
                <w:sz w:val="24"/>
                <w:szCs w:val="24"/>
              </w:rPr>
              <w:t>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8F429D" w:rsidRPr="0052467E" w:rsidRDefault="008F429D" w:rsidP="008F429D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CF2CBD" w:rsidRPr="00AD775D" w:rsidRDefault="008F429D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3. Të dëshmohet me faturë ose raport përfundimtar se nuk është në obligime ndaj KESCO-</w:t>
            </w:r>
            <w:r>
              <w:rPr>
                <w:b/>
                <w:color w:val="0000FF"/>
                <w:sz w:val="22"/>
              </w:rPr>
              <w:t>s.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2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3" w:name="Check29"/>
                  <w:r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4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5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Default="002003A1">
      <w:pPr>
        <w:rPr>
          <w:b/>
          <w:bCs/>
          <w:sz w:val="24"/>
          <w:szCs w:val="24"/>
        </w:rPr>
      </w:pPr>
    </w:p>
    <w:p w:rsidR="001B5146" w:rsidRPr="00FA0EC5" w:rsidRDefault="001B5146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8F2C00" w:rsidRDefault="008F2C00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6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346E5">
              <w:rPr>
                <w:b/>
                <w:color w:val="0000FF"/>
                <w:sz w:val="22"/>
                <w:lang w:val="en-GB"/>
              </w:rPr>
            </w:r>
            <w:r w:rsidR="001346E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6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346E5">
              <w:rPr>
                <w:b/>
                <w:sz w:val="24"/>
                <w:szCs w:val="24"/>
              </w:rPr>
            </w:r>
            <w:r w:rsidR="001346E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7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346E5">
              <w:rPr>
                <w:b/>
                <w:sz w:val="24"/>
                <w:szCs w:val="24"/>
              </w:rPr>
            </w:r>
            <w:r w:rsidR="001346E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346E5">
              <w:rPr>
                <w:b/>
                <w:sz w:val="24"/>
                <w:szCs w:val="24"/>
              </w:rPr>
            </w:r>
            <w:r w:rsidR="001346E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46E5">
                    <w:rPr>
                      <w:sz w:val="22"/>
                      <w:szCs w:val="22"/>
                    </w:rPr>
                  </w:r>
                  <w:r w:rsidR="001346E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46E5">
                    <w:rPr>
                      <w:sz w:val="22"/>
                      <w:szCs w:val="22"/>
                    </w:rPr>
                  </w:r>
                  <w:r w:rsidR="001346E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46E5">
                    <w:rPr>
                      <w:sz w:val="22"/>
                      <w:szCs w:val="22"/>
                    </w:rPr>
                  </w:r>
                  <w:r w:rsidR="001346E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46E5">
                    <w:rPr>
                      <w:sz w:val="22"/>
                      <w:szCs w:val="22"/>
                    </w:rPr>
                  </w:r>
                  <w:r w:rsidR="001346E5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CF2CBD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1" w:name="Check37"/>
            <w:r w:rsidRPr="00CF2CBD">
              <w:rPr>
                <w:b/>
                <w:color w:val="0000FF"/>
                <w:sz w:val="22"/>
              </w:rPr>
              <w:instrText xml:space="preserve"> FORMCHECKBOX </w:instrText>
            </w:r>
            <w:r w:rsidR="001346E5">
              <w:rPr>
                <w:b/>
                <w:color w:val="0000FF"/>
                <w:sz w:val="22"/>
                <w:lang w:val="en-GB"/>
              </w:rPr>
            </w:r>
            <w:r w:rsidR="001346E5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1"/>
            <w:r w:rsidR="00410B40" w:rsidRPr="00CF2CBD">
              <w:rPr>
                <w:b/>
                <w:color w:val="0000FF"/>
                <w:sz w:val="22"/>
              </w:rPr>
              <w:t xml:space="preserve"> </w:t>
            </w:r>
            <w:r w:rsidR="002F452D" w:rsidRPr="00CF2CBD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346E5">
              <w:rPr>
                <w:b/>
                <w:sz w:val="24"/>
                <w:szCs w:val="24"/>
              </w:rPr>
            </w:r>
            <w:r w:rsidR="001346E5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2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3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4" w:name="Check40"/>
                  <w:r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C17FD9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D86613">
              <w:rPr>
                <w:sz w:val="22"/>
                <w:szCs w:val="22"/>
              </w:rPr>
              <w:t>data</w:t>
            </w:r>
            <w:r w:rsidR="006D5B66" w:rsidRPr="00D86613">
              <w:rPr>
                <w:sz w:val="22"/>
                <w:szCs w:val="22"/>
              </w:rPr>
              <w:t xml:space="preserve"> </w:t>
            </w:r>
            <w:r w:rsidR="00E070D6">
              <w:rPr>
                <w:b/>
                <w:color w:val="0000FF"/>
                <w:sz w:val="22"/>
              </w:rPr>
              <w:t>04.1</w:t>
            </w:r>
            <w:bookmarkStart w:id="45" w:name="_GoBack"/>
            <w:bookmarkEnd w:id="45"/>
            <w:r w:rsidR="00E070D6">
              <w:rPr>
                <w:b/>
                <w:color w:val="0000FF"/>
                <w:sz w:val="22"/>
              </w:rPr>
              <w:t>1</w:t>
            </w:r>
            <w:r w:rsidR="00C17FD9" w:rsidRPr="00CF2CBD">
              <w:rPr>
                <w:b/>
                <w:color w:val="0000FF"/>
                <w:sz w:val="22"/>
              </w:rPr>
              <w:t>.202</w:t>
            </w:r>
            <w:r w:rsidR="00E070D6">
              <w:rPr>
                <w:b/>
                <w:color w:val="0000FF"/>
                <w:sz w:val="22"/>
              </w:rPr>
              <w:t>2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896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CB6D1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CB6D17">
              <w:rPr>
                <w:bCs/>
                <w:sz w:val="22"/>
                <w:szCs w:val="22"/>
              </w:rPr>
              <w:t xml:space="preserve">ntet me </w:t>
            </w:r>
            <w:r w:rsidR="004A4C4A">
              <w:rPr>
                <w:bCs/>
                <w:sz w:val="22"/>
                <w:szCs w:val="22"/>
              </w:rPr>
              <w:t>pages</w:t>
            </w:r>
            <w:r w:rsidR="00CB6D17">
              <w:rPr>
                <w:bCs/>
                <w:sz w:val="22"/>
                <w:szCs w:val="22"/>
              </w:rPr>
              <w:t>ë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1B5146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E070D6">
              <w:rPr>
                <w:b/>
                <w:color w:val="0000FF"/>
                <w:sz w:val="22"/>
              </w:rPr>
              <w:t>07.11</w:t>
            </w:r>
            <w:r w:rsidR="001B5146" w:rsidRPr="00CF2CBD">
              <w:rPr>
                <w:b/>
                <w:color w:val="0000FF"/>
                <w:sz w:val="22"/>
              </w:rPr>
              <w:t>.202</w:t>
            </w:r>
            <w:r w:rsidR="00E070D6">
              <w:rPr>
                <w:b/>
                <w:color w:val="0000FF"/>
                <w:sz w:val="22"/>
              </w:rPr>
              <w:t>2</w:t>
            </w:r>
            <w:r w:rsidR="001C4C60" w:rsidRPr="004A4C4A">
              <w:rPr>
                <w:i/>
                <w:sz w:val="22"/>
                <w:szCs w:val="22"/>
              </w:rPr>
              <w:t xml:space="preserve">  </w:t>
            </w:r>
            <w:r w:rsidR="001C4C60" w:rsidRPr="004A4C4A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F2CBD">
              <w:rPr>
                <w:b/>
                <w:i/>
                <w:color w:val="0000FF"/>
                <w:sz w:val="22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CF2CBD">
              <w:rPr>
                <w:b/>
                <w:i/>
                <w:color w:val="0000FF"/>
                <w:sz w:val="22"/>
              </w:rPr>
              <w:t xml:space="preserve"> Arhiva</w:t>
            </w:r>
            <w:r w:rsidR="008F2C00"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46E5">
              <w:rPr>
                <w:sz w:val="24"/>
                <w:szCs w:val="24"/>
              </w:rPr>
            </w:r>
            <w:r w:rsidR="001346E5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346E5">
              <w:rPr>
                <w:sz w:val="24"/>
                <w:szCs w:val="24"/>
              </w:rPr>
            </w:r>
            <w:r w:rsidR="001346E5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46E5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D0650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CF2CBD">
              <w:rPr>
                <w:b/>
                <w:color w:val="0000FF"/>
                <w:sz w:val="22"/>
                <w:lang w:val="de-DE"/>
              </w:rPr>
              <w:t>60</w:t>
            </w:r>
            <w:r w:rsidR="008F429D" w:rsidRPr="00CF2CBD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5D2559" w:rsidRPr="00CF2CBD">
              <w:rPr>
                <w:b/>
                <w:color w:val="0000FF"/>
                <w:sz w:val="22"/>
                <w:lang w:val="de-DE"/>
              </w:rPr>
              <w:t>ditë</w:t>
            </w:r>
            <w:r w:rsidR="005D2559" w:rsidRPr="00D06500">
              <w:rPr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F429D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03D03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Pr="00F03D03">
              <w:rPr>
                <w:i/>
                <w:sz w:val="22"/>
                <w:szCs w:val="22"/>
              </w:rPr>
              <w:t xml:space="preserve"> </w:t>
            </w:r>
            <w:r w:rsidR="001C1F16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="00CD69A8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  <w:r w:rsidR="008F429D">
              <w:rPr>
                <w:b/>
                <w:color w:val="0000FF"/>
                <w:sz w:val="22"/>
                <w:lang w:val="en-GB"/>
              </w:rPr>
              <w:t>/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E5" w:rsidRDefault="001346E5">
      <w:r>
        <w:separator/>
      </w:r>
    </w:p>
  </w:endnote>
  <w:endnote w:type="continuationSeparator" w:id="0">
    <w:p w:rsidR="001346E5" w:rsidRDefault="00134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5B52">
      <w:rPr>
        <w:rStyle w:val="PageNumber"/>
        <w:noProof/>
      </w:rPr>
      <w:t>5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E5" w:rsidRDefault="001346E5">
      <w:r>
        <w:separator/>
      </w:r>
    </w:p>
  </w:footnote>
  <w:footnote w:type="continuationSeparator" w:id="0">
    <w:p w:rsidR="001346E5" w:rsidRDefault="00134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5CDE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1F82"/>
    <w:rsid w:val="000B7B5E"/>
    <w:rsid w:val="000D1F88"/>
    <w:rsid w:val="000D3EDA"/>
    <w:rsid w:val="000E7882"/>
    <w:rsid w:val="000E78D2"/>
    <w:rsid w:val="000F0742"/>
    <w:rsid w:val="000F1086"/>
    <w:rsid w:val="000F3B0C"/>
    <w:rsid w:val="000F438A"/>
    <w:rsid w:val="000F705D"/>
    <w:rsid w:val="00100F4A"/>
    <w:rsid w:val="0011066A"/>
    <w:rsid w:val="00111BC7"/>
    <w:rsid w:val="00112372"/>
    <w:rsid w:val="00113C58"/>
    <w:rsid w:val="00115F91"/>
    <w:rsid w:val="00117809"/>
    <w:rsid w:val="00126063"/>
    <w:rsid w:val="001346E5"/>
    <w:rsid w:val="00145339"/>
    <w:rsid w:val="00151176"/>
    <w:rsid w:val="001537E2"/>
    <w:rsid w:val="001578F9"/>
    <w:rsid w:val="0016192E"/>
    <w:rsid w:val="00166A92"/>
    <w:rsid w:val="00174D5F"/>
    <w:rsid w:val="001919BD"/>
    <w:rsid w:val="0019305A"/>
    <w:rsid w:val="001A4E98"/>
    <w:rsid w:val="001A660C"/>
    <w:rsid w:val="001A6E90"/>
    <w:rsid w:val="001A6FAB"/>
    <w:rsid w:val="001B5146"/>
    <w:rsid w:val="001C1F16"/>
    <w:rsid w:val="001C4C60"/>
    <w:rsid w:val="001C57C3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4599F"/>
    <w:rsid w:val="0025138E"/>
    <w:rsid w:val="0025704B"/>
    <w:rsid w:val="00265508"/>
    <w:rsid w:val="00266D83"/>
    <w:rsid w:val="00282F88"/>
    <w:rsid w:val="00283493"/>
    <w:rsid w:val="002851E8"/>
    <w:rsid w:val="0029314F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41AC1"/>
    <w:rsid w:val="00365DDB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4242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2E17"/>
    <w:rsid w:val="004737CC"/>
    <w:rsid w:val="004762C3"/>
    <w:rsid w:val="004766F6"/>
    <w:rsid w:val="0048077C"/>
    <w:rsid w:val="00480CE5"/>
    <w:rsid w:val="00485CC1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1D07"/>
    <w:rsid w:val="004F7DBC"/>
    <w:rsid w:val="00504338"/>
    <w:rsid w:val="0050757C"/>
    <w:rsid w:val="005105D3"/>
    <w:rsid w:val="00514E1E"/>
    <w:rsid w:val="00521F8E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77FE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16E9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282D"/>
    <w:rsid w:val="007B658C"/>
    <w:rsid w:val="007B72E8"/>
    <w:rsid w:val="007B7D58"/>
    <w:rsid w:val="007C28E2"/>
    <w:rsid w:val="007D6841"/>
    <w:rsid w:val="007E41A0"/>
    <w:rsid w:val="007E441E"/>
    <w:rsid w:val="007E52A5"/>
    <w:rsid w:val="007E68D8"/>
    <w:rsid w:val="007F3050"/>
    <w:rsid w:val="007F3614"/>
    <w:rsid w:val="00820F09"/>
    <w:rsid w:val="008279F3"/>
    <w:rsid w:val="00833E0E"/>
    <w:rsid w:val="00835DC4"/>
    <w:rsid w:val="00836281"/>
    <w:rsid w:val="0083640B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8F429D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648D5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4C08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2D15"/>
    <w:rsid w:val="00A14286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458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775D"/>
    <w:rsid w:val="00AE1F6A"/>
    <w:rsid w:val="00AE3C1C"/>
    <w:rsid w:val="00AE6577"/>
    <w:rsid w:val="00AE685A"/>
    <w:rsid w:val="00B063A4"/>
    <w:rsid w:val="00B11259"/>
    <w:rsid w:val="00B134A4"/>
    <w:rsid w:val="00B1776F"/>
    <w:rsid w:val="00B227E2"/>
    <w:rsid w:val="00B345BD"/>
    <w:rsid w:val="00B4347F"/>
    <w:rsid w:val="00B45DEF"/>
    <w:rsid w:val="00B46581"/>
    <w:rsid w:val="00B53C0C"/>
    <w:rsid w:val="00B547D9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688E"/>
    <w:rsid w:val="00BA70A0"/>
    <w:rsid w:val="00BB2A9A"/>
    <w:rsid w:val="00BC4F78"/>
    <w:rsid w:val="00BC68C3"/>
    <w:rsid w:val="00BD02CC"/>
    <w:rsid w:val="00BD22CC"/>
    <w:rsid w:val="00BD3E87"/>
    <w:rsid w:val="00BD73D8"/>
    <w:rsid w:val="00BE47D1"/>
    <w:rsid w:val="00BE64C9"/>
    <w:rsid w:val="00BE6E43"/>
    <w:rsid w:val="00BF2E26"/>
    <w:rsid w:val="00BF62E4"/>
    <w:rsid w:val="00C00203"/>
    <w:rsid w:val="00C02DD8"/>
    <w:rsid w:val="00C11004"/>
    <w:rsid w:val="00C16CF2"/>
    <w:rsid w:val="00C17FD9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B6D17"/>
    <w:rsid w:val="00CC0A85"/>
    <w:rsid w:val="00CC647D"/>
    <w:rsid w:val="00CD3D54"/>
    <w:rsid w:val="00CD69A8"/>
    <w:rsid w:val="00CE54D7"/>
    <w:rsid w:val="00CF2CBD"/>
    <w:rsid w:val="00CF57E9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613"/>
    <w:rsid w:val="00D8689A"/>
    <w:rsid w:val="00D86EB6"/>
    <w:rsid w:val="00D91585"/>
    <w:rsid w:val="00DA22C1"/>
    <w:rsid w:val="00DA3BE3"/>
    <w:rsid w:val="00DB0C5F"/>
    <w:rsid w:val="00DB3B46"/>
    <w:rsid w:val="00DB40AA"/>
    <w:rsid w:val="00DC2A2B"/>
    <w:rsid w:val="00DE1427"/>
    <w:rsid w:val="00DF2C46"/>
    <w:rsid w:val="00DF2D18"/>
    <w:rsid w:val="00E00C4E"/>
    <w:rsid w:val="00E03C87"/>
    <w:rsid w:val="00E03DD8"/>
    <w:rsid w:val="00E070D6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2A93"/>
    <w:rsid w:val="00E374CF"/>
    <w:rsid w:val="00E40CE3"/>
    <w:rsid w:val="00E40EC7"/>
    <w:rsid w:val="00E41511"/>
    <w:rsid w:val="00E41853"/>
    <w:rsid w:val="00E47000"/>
    <w:rsid w:val="00E547D1"/>
    <w:rsid w:val="00E54914"/>
    <w:rsid w:val="00E5573B"/>
    <w:rsid w:val="00E564E7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4C29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0D9B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5C17"/>
    <w:rsid w:val="00F77A8D"/>
    <w:rsid w:val="00F8453E"/>
    <w:rsid w:val="00F85B52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3F0E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8C1FFF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2A9C6-1917-42E4-AC93-9D424582E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1591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Neki S Sadiku</dc:creator>
  <cp:lastModifiedBy>Arbenita Kadriu</cp:lastModifiedBy>
  <cp:revision>2</cp:revision>
  <cp:lastPrinted>2011-06-03T08:36:00Z</cp:lastPrinted>
  <dcterms:created xsi:type="dcterms:W3CDTF">2022-10-18T07:37:00Z</dcterms:created>
  <dcterms:modified xsi:type="dcterms:W3CDTF">2022-10-18T07:37:00Z</dcterms:modified>
</cp:coreProperties>
</file>